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3</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FDA Disclaimer:</w:t>
      </w:r>
      <w:r>
        <w:t xml:space="preserve">This article reflects the views of the authors and should not be construed to represent FDA’s views or policies.</w:t>
      </w:r>
    </w:p>
    <w:p>
      <w:pPr>
        <w:pStyle w:val="BodyText"/>
      </w:pPr>
      <w:r>
        <w:rPr>
          <w:b/>
          <w:bCs/>
          <w:u w:val="single"/>
        </w:rPr>
        <w:t xml:space="preserve">Funding Statement:</w:t>
      </w:r>
      <w:r>
        <w:t xml:space="preserve"> </w:t>
      </w:r>
      <w:r>
        <w:t xml:space="preserve">This project was supported by the Oncology Center of Excellence, Food and Drug Administration (FDA) of the U.S. Department of Health and Human Services (HHS) as part of a contract [75F40122C00181]. The contents are those of the author(s) and do not necessarily represent the official views of, nor an endorsement by FDA/HHS, or the U.S. Government.</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2025-10-22 19:28:42.287884</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evaluated when non-interventional studies can come to causal conclusions on treatment effects by benchmarking results against RCTs under the assumption that well-designed and conducted RCT findings reflect causal treatment effects.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trials that challenged existing treatment policies)</w:t>
      </w:r>
    </w:p>
    <w:p>
      <w:pPr>
        <w:pStyle w:val="FirstParagraph"/>
      </w:pPr>
      <w:r>
        <w:t xml:space="preserve">The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 xml:space="preserve">28</w:t>
      </w:r>
      <w:r>
        <w:t xml:space="preserve">,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29</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m:t>β</m:t>
        </m:r>
      </m:oMath>
      <w:r>
        <w:t xml:space="preserve"> </w:t>
      </w:r>
      <w:r>
        <w:t xml:space="preserve">with a 2-sided</w:t>
      </w:r>
      <w:r>
        <w:t xml:space="preserve"> </w:t>
      </w:r>
      <m:oMath>
        <m:r>
          <m:t>α</m:t>
        </m:r>
      </m:oMath>
      <w:r>
        <w:t xml:space="preserve"> </w:t>
      </w:r>
      <w:r>
        <w:t xml:space="preserve">of 0.05)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8,31</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(log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37</w:t>
      </w:r>
    </w:p>
    <w:p>
      <w:pPr>
        <w:pStyle w:val="BodyText"/>
      </w:pPr>
      <w:r>
        <w:t xml:space="preserve">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36</w:t>
      </w:r>
      <w:r>
        <w:t xml:space="preserve"> </w:t>
      </w:r>
      <w:r>
        <w:t xml:space="preserve">Hence, methodologies which retain otherwise eligible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43,44</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28</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8,31</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austin2009balance"/>
    <w:p>
      <w:pPr>
        <w:pStyle w:val="Bibliography"/>
      </w:pPr>
      <w:r>
        <w:t xml:space="preserve">28.</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78"/>
    <w:bookmarkStart w:id="79" w:name="ref-hernan2022causal"/>
    <w:p>
      <w:pPr>
        <w:pStyle w:val="Bibliography"/>
      </w:pPr>
      <w:r>
        <w:t xml:space="preserve">29.</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9"/>
    <w:bookmarkStart w:id="80" w:name="ref-schoenfeld1981asymptotic"/>
    <w:p>
      <w:pPr>
        <w:pStyle w:val="Bibliography"/>
      </w:pPr>
      <w:r>
        <w:t xml:space="preserve">30.</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80"/>
    <w:bookmarkStart w:id="81" w:name="ref-franklin2020nonrandomized"/>
    <w:p>
      <w:pPr>
        <w:pStyle w:val="Bibliography"/>
      </w:pPr>
      <w:r>
        <w:t xml:space="preserve">31.</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1"/>
    <w:bookmarkStart w:id="82" w:name="ref-schneeweiss2019graphical"/>
    <w:p>
      <w:pPr>
        <w:pStyle w:val="Bibliography"/>
      </w:pPr>
      <w:r>
        <w:t xml:space="preserve">32.</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2"/>
    <w:bookmarkStart w:id="83" w:name="ref-rubin1976inference"/>
    <w:p>
      <w:pPr>
        <w:pStyle w:val="Bibliography"/>
      </w:pPr>
      <w:r>
        <w:t xml:space="preserve">33.</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3"/>
    <w:bookmarkStart w:id="84" w:name="ref-weberpals2024smdi"/>
    <w:p>
      <w:pPr>
        <w:pStyle w:val="Bibliography"/>
      </w:pPr>
      <w:r>
        <w:t xml:space="preserve">34.</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4"/>
    <w:bookmarkStart w:id="86" w:name="ref-weberpals2024"/>
    <w:p>
      <w:pPr>
        <w:pStyle w:val="Bibliography"/>
      </w:pPr>
      <w:r>
        <w:t xml:space="preserve">35.</w:t>
      </w:r>
      <w:r>
        <w:t xml:space="preserve"> </w:t>
      </w:r>
      <w:r>
        <w:t xml:space="preserve">	</w:t>
      </w:r>
      <w:r>
        <w:t xml:space="preserve">Weberpals, J.</w:t>
      </w:r>
      <w:r>
        <w:t xml:space="preserve"> </w:t>
      </w:r>
      <w:r>
        <w:rPr>
          <w:i/>
          <w:iCs/>
        </w:rPr>
        <w:t xml:space="preserve">et al.</w:t>
      </w:r>
      <w:r>
        <w:t xml:space="preserve"> </w:t>
      </w:r>
      <w:hyperlink r:id="rId85">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6"/>
    <w:bookmarkStart w:id="87" w:name="ref-moreno2018canonical"/>
    <w:p>
      <w:pPr>
        <w:pStyle w:val="Bibliography"/>
      </w:pPr>
      <w:r>
        <w:t xml:space="preserve">36.</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7"/>
    <w:bookmarkStart w:id="88" w:name="ref-tompsett2018use"/>
    <w:p>
      <w:pPr>
        <w:pStyle w:val="Bibliography"/>
      </w:pPr>
      <w:r>
        <w:t xml:space="preserve">37.</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8"/>
    <w:bookmarkStart w:id="90" w:name="ref-weberpals2024hdmi"/>
    <w:p>
      <w:pPr>
        <w:pStyle w:val="Bibliography"/>
      </w:pPr>
      <w:r>
        <w:t xml:space="preserve">38.</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9">
        <w:r>
          <w:rPr>
            <w:rStyle w:val="Hyperlink"/>
          </w:rPr>
          <w:t xml:space="preserve">https://arxiv.org/abs/2405.10925</w:t>
        </w:r>
      </w:hyperlink>
      <w:r>
        <w:t xml:space="preserve">&gt;</w:t>
      </w:r>
    </w:p>
    <w:bookmarkEnd w:id="90"/>
    <w:bookmarkStart w:id="92" w:name="ref-Shaw2024"/>
    <w:p>
      <w:pPr>
        <w:pStyle w:val="Bibliography"/>
      </w:pPr>
      <w:r>
        <w:t xml:space="preserve">39.</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1">
        <w:r>
          <w:rPr>
            <w:rStyle w:val="Hyperlink"/>
          </w:rPr>
          <w:t xml:space="preserve">https://github.com/PamelaShaw/Missing-Confounders-Methods</w:t>
        </w:r>
      </w:hyperlink>
      <w:r>
        <w:t xml:space="preserve">&gt;</w:t>
      </w:r>
    </w:p>
    <w:bookmarkEnd w:id="92"/>
    <w:bookmarkStart w:id="93" w:name="ref-cox1972regression"/>
    <w:p>
      <w:pPr>
        <w:pStyle w:val="Bibliography"/>
      </w:pPr>
      <w:r>
        <w:t xml:space="preserve">40.</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3"/>
    <w:bookmarkStart w:id="94" w:name="ref-kaplan1958nonparametric"/>
    <w:p>
      <w:pPr>
        <w:pStyle w:val="Bibliography"/>
      </w:pPr>
      <w:r>
        <w:t xml:space="preserve">41.</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4"/>
    <w:bookmarkStart w:id="95" w:name="ref-becker2020enhanced"/>
    <w:p>
      <w:pPr>
        <w:pStyle w:val="Bibliography"/>
      </w:pPr>
      <w:r>
        <w:t xml:space="preserve">42.</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5"/>
    <w:bookmarkStart w:id="96" w:name="ref-leyrat2019propensity"/>
    <w:p>
      <w:pPr>
        <w:pStyle w:val="Bibliography"/>
      </w:pPr>
      <w:r>
        <w:t xml:space="preserve">43.</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6"/>
    <w:bookmarkStart w:id="97" w:name="ref-pishgar2020matchthem"/>
    <w:p>
      <w:pPr>
        <w:pStyle w:val="Bibliography"/>
      </w:pPr>
      <w:r>
        <w:t xml:space="preserve">44.</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7"/>
    <w:bookmarkStart w:id="98" w:name="ref-rubin2018multiple"/>
    <w:p>
      <w:pPr>
        <w:pStyle w:val="Bibliography"/>
      </w:pPr>
      <w:r>
        <w:t xml:space="preserve">45.</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8"/>
    <w:bookmarkStart w:id="99" w:name="ref-van2011mice"/>
    <w:p>
      <w:pPr>
        <w:pStyle w:val="Bibliography"/>
      </w:pPr>
      <w:r>
        <w:t xml:space="preserve">46.</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lef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lef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lef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lef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lef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lef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2025-10-22T19:30:02Z</dcterms:created>
  <dcterms:modified xsi:type="dcterms:W3CDTF">2025-10-22T19:30:02Z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